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jc w:val="right"/>
        <w:outlineLvl w:val="1"/>
        <w:rPr/>
      </w:pPr>
      <w:r>
        <w:t>Приложение № 6</w:t>
      </w:r>
    </w:p>
    <w:p>
      <w:pPr>
        <w:pStyle w:val="style4097"/>
        <w:jc w:val="right"/>
        <w:rPr/>
      </w:pPr>
      <w:r>
        <w:t>к Договору о комплексном развитии</w:t>
      </w:r>
    </w:p>
    <w:p>
      <w:pPr>
        <w:pStyle w:val="style4097"/>
        <w:jc w:val="right"/>
        <w:rPr/>
      </w:pPr>
      <w:r>
        <w:t>незастроенной территории</w:t>
      </w:r>
    </w:p>
    <w:p>
      <w:pPr>
        <w:pStyle w:val="style4097"/>
        <w:jc w:val="right"/>
        <w:rPr/>
      </w:pPr>
      <w:r>
        <w:t>от _______ № _______</w:t>
      </w:r>
    </w:p>
    <w:p>
      <w:pPr>
        <w:pStyle w:val="style4107"/>
        <w:jc w:val="both"/>
        <w:rPr/>
      </w:pPr>
    </w:p>
    <w:p>
      <w:pPr>
        <w:pStyle w:val="style4107"/>
        <w:jc w:val="both"/>
        <w:rPr/>
      </w:pPr>
    </w:p>
    <w:p>
      <w:pPr>
        <w:pStyle w:val="style4106"/>
        <w:ind w:firstLine="540"/>
        <w:jc w:val="center"/>
        <w:rPr>
          <w:b/>
        </w:rPr>
      </w:pPr>
      <w:r>
        <w:rPr>
          <w:b/>
        </w:rPr>
        <w:t xml:space="preserve">Соглашение по финансированию развития </w:t>
      </w:r>
      <w:r>
        <w:rPr>
          <w:b/>
        </w:rPr>
        <w:t xml:space="preserve">существующей амбулаторно-поликлинической сети </w:t>
      </w:r>
      <w:r>
        <w:rPr>
          <w:b/>
        </w:rPr>
        <w:t xml:space="preserve">объектов здравоохранения Московской области </w:t>
      </w:r>
    </w:p>
    <w:p>
      <w:pPr>
        <w:pStyle w:val="style4107"/>
        <w:jc w:val="both"/>
        <w:rPr/>
      </w:pPr>
    </w:p>
    <w:p>
      <w:pPr>
        <w:pStyle w:val="style4106"/>
        <w:ind w:firstLine="540"/>
        <w:jc w:val="both"/>
        <w:rPr/>
      </w:pPr>
      <w:r>
        <w:t xml:space="preserve">"___" __________ </w:t>
      </w:r>
      <w:r>
        <w:t>2025</w:t>
      </w:r>
      <w:r>
        <w:t xml:space="preserve"> г.                 </w:t>
      </w:r>
      <w:r>
        <w:t xml:space="preserve">                                               </w:t>
      </w:r>
      <w:r>
        <w:t xml:space="preserve">                      </w:t>
      </w:r>
      <w:r>
        <w:t>№</w:t>
      </w:r>
      <w:r>
        <w:t xml:space="preserve"> __________</w:t>
      </w:r>
    </w:p>
    <w:p>
      <w:pPr>
        <w:pStyle w:val="style4106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_____________ ()далее – Инвестор), в лице _________, действующего на основании _________ и Министерство здравоохранения Московской области (далее – Министерство), в лице </w:t>
      </w:r>
      <w:r>
        <w:t>_____________________</w:t>
      </w:r>
      <w:r>
        <w:t xml:space="preserve">, действующего на основании </w:t>
      </w:r>
      <w:r>
        <w:t>___________________</w:t>
      </w:r>
      <w:r>
        <w:t xml:space="preserve">, совместно именуемые «Стороны», а по отдельности – «Сторона», во исполнение договора о комплексном развитии незастроенной территории </w:t>
      </w:r>
      <w:r>
        <w:t>ориентировочной</w:t>
      </w:r>
      <w:r>
        <w:t xml:space="preserve"> </w:t>
      </w:r>
      <w:r>
        <w:t>площадью 4</w:t>
      </w:r>
      <w:r>
        <w:t>3,92</w:t>
      </w:r>
      <w:bookmarkStart w:id="0" w:name="_GoBack"/>
      <w:bookmarkEnd w:id="0"/>
      <w:r>
        <w:t> га, расположенной по адресу: городской округ Одинцово, п. Барвиха</w:t>
      </w:r>
      <w:r>
        <w:t>, заключили настоящее соглашение (далее - Соглашение), о нижеследующем.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center"/>
        <w:outlineLvl w:val="1"/>
        <w:rPr/>
      </w:pPr>
      <w:r>
        <w:t xml:space="preserve">1. Предмет </w:t>
      </w:r>
      <w:r>
        <w:t>Соглашения</w:t>
      </w:r>
      <w:r>
        <w:t>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1.</w:t>
      </w:r>
      <w:r>
        <w:t xml:space="preserve"> В соответствии с настоящим Соглашением </w:t>
      </w:r>
      <w:r>
        <w:t>Инвестор</w:t>
      </w:r>
      <w:r>
        <w:t xml:space="preserve"> в целях исполне</w:t>
      </w:r>
      <w:r>
        <w:t>ния</w:t>
      </w:r>
      <w:r>
        <w:t xml:space="preserve"> принятых на себя обязательств, согласно </w:t>
      </w:r>
      <w:r>
        <w:t>ДоКРТ</w:t>
      </w:r>
      <w:r>
        <w:t xml:space="preserve">, обязуется осуществить мероприятия по финансированию развития существующей амбулаторно-поликлинической сети объектов здравоохранения Московской области, путем перечисления на расчетный счет Министерства по реквизитам указанным в пункте 3 настоящего Соглашения, денежных средств в размере </w:t>
      </w:r>
      <w:r>
        <w:t>_______</w:t>
      </w:r>
      <w:r>
        <w:t xml:space="preserve"> рублей (далее — средства финансирования), а также обеспечить выполнение условий настоящего Соглашения.</w:t>
      </w:r>
      <w:bookmarkStart w:id="1" w:name="P77"/>
      <w:bookmarkStart w:id="2" w:name="P78"/>
      <w:bookmarkStart w:id="3" w:name="P79"/>
      <w:bookmarkEnd w:id="1"/>
      <w:bookmarkEnd w:id="2"/>
      <w:bookmarkEnd w:id="3"/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center"/>
        <w:outlineLvl w:val="1"/>
        <w:rPr/>
      </w:pPr>
      <w:r>
        <w:t xml:space="preserve">2. </w:t>
      </w:r>
      <w:r>
        <w:t>Условия и порядок предоставления средств финансирования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2</w:t>
      </w:r>
      <w:r>
        <w:t>.1.</w:t>
      </w:r>
      <w:r>
        <w:t xml:space="preserve"> Инвестор </w:t>
      </w:r>
      <w:r>
        <w:t xml:space="preserve">осуществляет перечисление средств финансирования, не позднее 3-x месяцев после заключения </w:t>
      </w:r>
      <w:r>
        <w:t>ДоКРТ</w:t>
      </w:r>
      <w:r>
        <w:t>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2.2. Средства финансирования перечисляется </w:t>
      </w:r>
      <w:r>
        <w:t>Инвестором</w:t>
      </w:r>
      <w:r>
        <w:t xml:space="preserve"> по следующим платежным реквизитам: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Получатель: </w:t>
      </w:r>
      <w:r>
        <w:t>___________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KПП: </w:t>
      </w:r>
      <w:r>
        <w:t>__________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Банк:</w:t>
      </w:r>
      <w:r>
        <w:t>_</w:t>
      </w:r>
      <w:r>
        <w:t>__________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Единый казначейский счет: </w:t>
      </w:r>
      <w:r>
        <w:t>__________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Казначейский счет: </w:t>
      </w:r>
      <w:r>
        <w:t>_____________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OKTMO: </w:t>
      </w:r>
      <w:r>
        <w:t>___________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КБК: </w:t>
      </w:r>
      <w:r>
        <w:t>_______________________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2.3. Перечень   объектов   здравоохранения   Московской   области, на финансирование развития которых </w:t>
      </w:r>
      <w:r>
        <w:t>Инвестором</w:t>
      </w:r>
      <w:r>
        <w:t xml:space="preserve"> предоставляются денежные средства (средства </w:t>
      </w:r>
      <w:r>
        <w:t>финаисирования</w:t>
      </w:r>
      <w:r>
        <w:t xml:space="preserve">), в порядке и </w:t>
      </w:r>
      <w:r>
        <w:t>на условиях</w:t>
      </w:r>
      <w:r>
        <w:t xml:space="preserve"> определенных настоящим Соглашением, определяются Министерством самостоятельно.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center"/>
        <w:rPr/>
      </w:pPr>
      <w:r>
        <w:t>3. Обязанности сторон.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3.1. Инвестор обязуется перечислить на расчетный счет Министерства средства финансирования на цели и в размере, предусмотренном пунктом 1 настоящего Соглашения, в порядке и на условиях, предусмотренных настоящим Соглашением.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3.2. Министерство обязуется в случае изменения платежных реквизитов в течение 5 (пяти) рабочих дней уведомить Инвестора путем направления соответствующего письменного извещения.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center"/>
        <w:rPr/>
      </w:pPr>
      <w:r>
        <w:t>4. Ответственность сторон.</w:t>
      </w:r>
    </w:p>
    <w:p>
      <w:pPr>
        <w:pStyle w:val="style4106"/>
        <w:tabs>
          <w:tab w:val="left" w:leader="none" w:pos="1560"/>
        </w:tabs>
        <w:ind w:firstLine="539"/>
        <w:jc w:val="center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4.1. </w:t>
      </w:r>
      <w:r>
        <w:t xml:space="preserve">За неисполнение или ненадлежащее исполнение условий </w:t>
      </w:r>
      <w:r>
        <w:t>н</w:t>
      </w:r>
      <w:r>
        <w:t>астоящего Соглашения Стороны несут ответственность, предусмотренную действующим законодательством Российской Федерации.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center"/>
        <w:rPr/>
      </w:pPr>
      <w:r>
        <w:t>5. Срок действия соглашения.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5.1. Настоящее Соглашение вступает в силу со дня его подписания Сторонами и действует до </w:t>
      </w:r>
      <w:r>
        <w:t xml:space="preserve">полного </w:t>
      </w:r>
      <w:r>
        <w:t>исполнения</w:t>
      </w:r>
      <w:r>
        <w:t xml:space="preserve"> Инвестором</w:t>
      </w:r>
      <w:r>
        <w:t xml:space="preserve"> принятых на себя обязательств.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center"/>
        <w:rPr/>
      </w:pPr>
      <w:r>
        <w:t>6. Порядок рассмотрения споров.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6.1. Споры (разногласия), возникающие между Сторонами в связи с исполнением настоящего Соглашения, разрешаются ими, путем проведения переговоров с оформлением соответствующих протоколов или иных документов.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6.2. В случае невыполнения Сторонами своих обязательств и не достижения взаимного согласия, споры по настоящему Соглашению разрешаются в судебном порядке в соответствие с действующим законодательством Российской Федерации.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</w:p>
    <w:bookmarkStart w:id="4" w:name="P84"/>
    <w:bookmarkStart w:id="5" w:name="P93"/>
    <w:bookmarkStart w:id="6" w:name="P98"/>
    <w:bookmarkStart w:id="7" w:name="P99"/>
    <w:bookmarkStart w:id="8" w:name="P101"/>
    <w:bookmarkStart w:id="9" w:name="P120"/>
    <w:bookmarkStart w:id="10" w:name="P121"/>
    <w:bookmarkStart w:id="11" w:name="P126"/>
    <w:bookmarkStart w:id="12" w:name="P128"/>
    <w:bookmarkStart w:id="13" w:name="P133"/>
    <w:bookmarkStart w:id="14" w:name="P147"/>
    <w:bookmarkStart w:id="15" w:name="P16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>
      <w:pPr>
        <w:pStyle w:val="style179"/>
        <w:tabs>
          <w:tab w:val="left" w:leader="none" w:pos="1521"/>
          <w:tab w:val="left" w:leader="none" w:pos="1560"/>
        </w:tabs>
        <w:ind w:left="1104" w:right="282" w:firstLine="539"/>
        <w:jc w:val="center"/>
        <w:rPr>
          <w:rFonts w:eastAsia="宋体"/>
          <w:sz w:val="24"/>
          <w:szCs w:val="24"/>
          <w:lang w:eastAsia="ru-RU"/>
        </w:rPr>
      </w:pPr>
      <w:r>
        <w:rPr>
          <w:sz w:val="24"/>
          <w:szCs w:val="24"/>
        </w:rPr>
        <w:t xml:space="preserve">7. </w:t>
      </w:r>
      <w:r>
        <w:rPr>
          <w:rFonts w:eastAsia="宋体"/>
          <w:sz w:val="24"/>
          <w:szCs w:val="24"/>
          <w:lang w:eastAsia="ru-RU"/>
        </w:rPr>
        <w:t>Заключительные положения.</w:t>
      </w:r>
    </w:p>
    <w:p>
      <w:pPr>
        <w:pStyle w:val="style179"/>
        <w:tabs>
          <w:tab w:val="left" w:leader="none" w:pos="1521"/>
          <w:tab w:val="left" w:leader="none" w:pos="1560"/>
        </w:tabs>
        <w:ind w:left="1104" w:right="282" w:firstLine="539"/>
        <w:jc w:val="center"/>
        <w:rPr>
          <w:rFonts w:eastAsia="宋体"/>
          <w:sz w:val="24"/>
          <w:szCs w:val="24"/>
          <w:lang w:eastAsia="ru-RU"/>
        </w:rPr>
      </w:pP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7.1.</w:t>
      </w:r>
      <w:r>
        <w:t xml:space="preserve"> </w:t>
      </w:r>
      <w:r>
        <w:t>Внесение изменений в настоящее Соглашение осуществляется путем подписания дополнительных соглашений, являющихся неотъемлемой частью настоящего Соглашения.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7.2. </w:t>
      </w:r>
      <w:r>
        <w:t>Настоящее Соглашение составлено в двух экземплярах, имеющих равную юридическую силу, по одному для каждой из Сторон.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>7.3. Лица, подписавшие настоящее Соглашение и/или дополнительное соглашение к настоящему Соглашению, обязаны уведомлять друг друга в письменном виде об изменении своих реквизитов в течение 10 календарных дней со дня внесения изменений.</w:t>
      </w:r>
    </w:p>
    <w:p>
      <w:pPr>
        <w:pStyle w:val="style4106"/>
        <w:tabs>
          <w:tab w:val="left" w:leader="none" w:pos="1560"/>
        </w:tabs>
        <w:ind w:firstLine="539"/>
        <w:jc w:val="both"/>
        <w:rPr/>
      </w:pPr>
      <w:r>
        <w:t xml:space="preserve">В случае если реквизиты лица, подписавшего настоящее Соглашение и/или Дополнительное соглашение к настоящему Соглашению, изменились, и это лицо не уведомило об этом в порядке, установленном настоящим Соглашением других лиц, такое лицо будет считаться уведомленным надлежащим образом, если исполнение или уведомление в адрес такого лица произведено с использованием устаревших реквизитов, указанных в </w:t>
      </w:r>
      <w:r>
        <w:rPr/>
        <w:fldChar w:fldCharType="begin"/>
      </w:r>
      <w:r>
        <w:instrText xml:space="preserve"> HYPERLINK \l "P204" \o "10. Адреса и реквизиты Сторон" </w:instrText>
      </w:r>
      <w:r>
        <w:rPr/>
        <w:fldChar w:fldCharType="separate"/>
      </w:r>
      <w:r>
        <w:t>разделе 10</w:t>
      </w:r>
      <w:r>
        <w:rPr/>
        <w:fldChar w:fldCharType="end"/>
      </w:r>
      <w:r>
        <w:t xml:space="preserve"> настоящего Договора.</w:t>
      </w:r>
    </w:p>
    <w:p>
      <w:pPr>
        <w:pStyle w:val="style4106"/>
        <w:spacing w:before="240"/>
        <w:ind w:firstLine="540"/>
        <w:jc w:val="both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>
        <w:trPr/>
        <w:tc>
          <w:tcPr>
            <w:tcW w:w="5098" w:type="dxa"/>
            <w:tcBorders/>
          </w:tcPr>
          <w:p>
            <w:pPr>
              <w:pStyle w:val="style4106"/>
              <w:spacing w:before="240"/>
              <w:jc w:val="center"/>
              <w:rPr>
                <w:b/>
              </w:rPr>
            </w:pPr>
            <w:r>
              <w:rPr>
                <w:b/>
              </w:rPr>
              <w:t>Министерство здравоохранения Московской области</w:t>
            </w:r>
          </w:p>
          <w:p>
            <w:pPr>
              <w:pStyle w:val="style4106"/>
              <w:spacing w:before="240"/>
              <w:jc w:val="both"/>
              <w:rPr/>
            </w:pPr>
          </w:p>
        </w:tc>
        <w:tc>
          <w:tcPr>
            <w:tcW w:w="5099" w:type="dxa"/>
            <w:tcBorders/>
          </w:tcPr>
          <w:p>
            <w:pPr>
              <w:pStyle w:val="style4106"/>
              <w:spacing w:before="240"/>
              <w:jc w:val="center"/>
              <w:rPr>
                <w:b/>
              </w:rPr>
            </w:pPr>
            <w:r>
              <w:rPr>
                <w:b/>
              </w:rPr>
              <w:t>Инвестор</w:t>
            </w:r>
          </w:p>
        </w:tc>
      </w:tr>
    </w:tbl>
    <w:p>
      <w:pPr>
        <w:pStyle w:val="style4106"/>
        <w:spacing w:before="240"/>
        <w:ind w:firstLine="540"/>
        <w:jc w:val="both"/>
        <w:rPr/>
      </w:pPr>
    </w:p>
    <w:sectPr>
      <w:footerReference w:type="first" r:id="rId2"/>
      <w:pgSz w:w="11906" w:h="16838" w:orient="portrait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06"/>
      <w:rPr/>
    </w:pPr>
    <w:r>
      <w:rPr>
        <w:sz w:val="2"/>
        <w:szCs w:val="2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CF0703A"/>
    <w:lvl w:ilvl="0">
      <w:start w:val="1"/>
      <w:numFmt w:val="decimal"/>
      <w:lvlText w:val="%1."/>
      <w:lvlJc w:val="left"/>
      <w:pPr>
        <w:ind w:left="606" w:hanging="274"/>
        <w:jc w:val="right"/>
      </w:pPr>
      <w:rPr>
        <w:rFonts w:hint="default"/>
        <w:spacing w:val="0"/>
        <w:w w:val="95"/>
        <w:lang w:val="ru-RU" w:bidi="ar-SA" w:eastAsia="en-US"/>
      </w:rPr>
    </w:lvl>
    <w:lvl w:ilvl="1">
      <w:start w:val="1"/>
      <w:numFmt w:val="decimal"/>
      <w:lvlText w:val="%1.%2."/>
      <w:lvlJc w:val="left"/>
      <w:pPr>
        <w:ind w:left="767" w:hanging="494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6"/>
        <w:sz w:val="29"/>
        <w:szCs w:val="29"/>
        <w:lang w:val="ru-RU" w:bidi="ar-SA" w:eastAsia="en-US"/>
      </w:rPr>
    </w:lvl>
    <w:lvl w:ilvl="2">
      <w:start w:val="1"/>
      <w:numFmt w:val="bullet"/>
      <w:lvlText w:val="•"/>
      <w:lvlJc w:val="left"/>
      <w:pPr>
        <w:ind w:left="780" w:hanging="494"/>
      </w:pPr>
      <w:rPr>
        <w:rFonts w:hint="default"/>
        <w:lang w:val="ru-RU" w:bidi="ar-SA" w:eastAsia="en-US"/>
      </w:rPr>
    </w:lvl>
    <w:lvl w:ilvl="3">
      <w:start w:val="1"/>
      <w:numFmt w:val="bullet"/>
      <w:lvlText w:val="•"/>
      <w:lvlJc w:val="left"/>
      <w:pPr>
        <w:ind w:left="2064" w:hanging="494"/>
      </w:pPr>
      <w:rPr>
        <w:rFonts w:hint="default"/>
        <w:lang w:val="ru-RU" w:bidi="ar-SA" w:eastAsia="en-US"/>
      </w:rPr>
    </w:lvl>
    <w:lvl w:ilvl="4">
      <w:start w:val="1"/>
      <w:numFmt w:val="bullet"/>
      <w:lvlText w:val="•"/>
      <w:lvlJc w:val="left"/>
      <w:pPr>
        <w:ind w:left="3349" w:hanging="494"/>
      </w:pPr>
      <w:rPr>
        <w:rFonts w:hint="default"/>
        <w:lang w:val="ru-RU" w:bidi="ar-SA" w:eastAsia="en-US"/>
      </w:rPr>
    </w:lvl>
    <w:lvl w:ilvl="5">
      <w:start w:val="1"/>
      <w:numFmt w:val="bullet"/>
      <w:lvlText w:val="•"/>
      <w:lvlJc w:val="left"/>
      <w:pPr>
        <w:ind w:left="4634" w:hanging="494"/>
      </w:pPr>
      <w:rPr>
        <w:rFonts w:hint="default"/>
        <w:lang w:val="ru-RU" w:bidi="ar-SA" w:eastAsia="en-US"/>
      </w:rPr>
    </w:lvl>
    <w:lvl w:ilvl="6">
      <w:start w:val="1"/>
      <w:numFmt w:val="bullet"/>
      <w:lvlText w:val="•"/>
      <w:lvlJc w:val="left"/>
      <w:pPr>
        <w:ind w:left="5918" w:hanging="494"/>
      </w:pPr>
      <w:rPr>
        <w:rFonts w:hint="default"/>
        <w:lang w:val="ru-RU" w:bidi="ar-SA" w:eastAsia="en-US"/>
      </w:rPr>
    </w:lvl>
    <w:lvl w:ilvl="7">
      <w:start w:val="1"/>
      <w:numFmt w:val="bullet"/>
      <w:lvlText w:val="•"/>
      <w:lvlJc w:val="left"/>
      <w:pPr>
        <w:ind w:left="7203" w:hanging="494"/>
      </w:pPr>
      <w:rPr>
        <w:rFonts w:hint="default"/>
        <w:lang w:val="ru-RU" w:bidi="ar-SA" w:eastAsia="en-US"/>
      </w:rPr>
    </w:lvl>
    <w:lvl w:ilvl="8">
      <w:start w:val="1"/>
      <w:numFmt w:val="bullet"/>
      <w:lvlText w:val="•"/>
      <w:lvlJc w:val="left"/>
      <w:pPr>
        <w:ind w:left="8488" w:hanging="494"/>
      </w:pPr>
      <w:rPr>
        <w:rFonts w:hint="default"/>
        <w:lang w:val="ru-RU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ConsPlusNormal"/>
    <w:next w:val="style4097"/>
    <w:pPr>
      <w:widowControl w:val="false"/>
      <w:autoSpaceDE w:val="false"/>
      <w:autoSpaceDN w:val="false"/>
    </w:pPr>
    <w:rPr>
      <w:rFonts w:ascii="Times New Roman" w:cs="Times New Roman" w:hAnsi="Times New Roman"/>
      <w:sz w:val="24"/>
    </w:rPr>
  </w:style>
  <w:style w:type="paragraph" w:customStyle="1" w:styleId="style4098">
    <w:name w:val="ConsPlusNonformat"/>
    <w:next w:val="style4098"/>
    <w:pPr>
      <w:widowControl w:val="false"/>
      <w:autoSpaceDE w:val="false"/>
      <w:autoSpaceDN w:val="false"/>
    </w:pPr>
    <w:rPr>
      <w:rFonts w:ascii="Courier New" w:cs="Courier New" w:hAnsi="Courier New"/>
      <w:sz w:val="20"/>
    </w:rPr>
  </w:style>
  <w:style w:type="paragraph" w:customStyle="1" w:styleId="style4099">
    <w:name w:val="ConsPlusTitle"/>
    <w:next w:val="style4099"/>
    <w:pPr>
      <w:widowControl w:val="false"/>
      <w:autoSpaceDE w:val="false"/>
      <w:autoSpaceDN w:val="false"/>
    </w:pPr>
    <w:rPr>
      <w:rFonts w:ascii="Arial" w:cs="Arial" w:hAnsi="Arial"/>
      <w:b/>
      <w:sz w:val="24"/>
    </w:rPr>
  </w:style>
  <w:style w:type="paragraph" w:customStyle="1" w:styleId="style4100">
    <w:name w:val="ConsPlusCell"/>
    <w:next w:val="style4100"/>
    <w:pPr>
      <w:widowControl w:val="false"/>
      <w:autoSpaceDE w:val="false"/>
      <w:autoSpaceDN w:val="false"/>
    </w:pPr>
    <w:rPr>
      <w:rFonts w:ascii="Courier New" w:cs="Courier New" w:hAnsi="Courier New"/>
      <w:sz w:val="20"/>
    </w:rPr>
  </w:style>
  <w:style w:type="paragraph" w:customStyle="1" w:styleId="style4101">
    <w:name w:val="ConsPlusDocList"/>
    <w:next w:val="style4101"/>
    <w:pPr>
      <w:widowControl w:val="false"/>
      <w:autoSpaceDE w:val="false"/>
      <w:autoSpaceDN w:val="false"/>
    </w:pPr>
    <w:rPr>
      <w:rFonts w:ascii="Tahoma" w:cs="Tahoma" w:hAnsi="Tahoma"/>
      <w:sz w:val="18"/>
    </w:rPr>
  </w:style>
  <w:style w:type="paragraph" w:customStyle="1" w:styleId="style4102">
    <w:name w:val="ConsPlusTitlePage"/>
    <w:next w:val="style4102"/>
    <w:pPr>
      <w:widowControl w:val="false"/>
      <w:autoSpaceDE w:val="false"/>
      <w:autoSpaceDN w:val="false"/>
    </w:pPr>
    <w:rPr>
      <w:rFonts w:ascii="Tahoma" w:cs="Tahoma" w:hAnsi="Tahoma"/>
      <w:sz w:val="20"/>
    </w:rPr>
  </w:style>
  <w:style w:type="paragraph" w:customStyle="1" w:styleId="style4103">
    <w:name w:val="ConsPlusJurTerm"/>
    <w:next w:val="style4103"/>
    <w:pPr>
      <w:widowControl w:val="false"/>
      <w:autoSpaceDE w:val="false"/>
      <w:autoSpaceDN w:val="false"/>
    </w:pPr>
    <w:rPr>
      <w:rFonts w:ascii="Tahoma" w:cs="Tahoma" w:hAnsi="Tahoma"/>
      <w:sz w:val="26"/>
    </w:rPr>
  </w:style>
  <w:style w:type="paragraph" w:customStyle="1" w:styleId="style4104">
    <w:name w:val="ConsPlusTextList"/>
    <w:next w:val="style4104"/>
    <w:pPr>
      <w:widowControl w:val="false"/>
      <w:autoSpaceDE w:val="false"/>
      <w:autoSpaceDN w:val="false"/>
    </w:pPr>
    <w:rPr>
      <w:rFonts w:ascii="Times New Roman" w:cs="Times New Roman" w:hAnsi="Times New Roman"/>
      <w:sz w:val="24"/>
    </w:rPr>
  </w:style>
  <w:style w:type="paragraph" w:customStyle="1" w:styleId="style4105">
    <w:name w:val="ConsPlusTextList"/>
    <w:next w:val="style4105"/>
    <w:pPr>
      <w:widowControl w:val="false"/>
      <w:autoSpaceDE w:val="false"/>
      <w:autoSpaceDN w:val="false"/>
    </w:pPr>
    <w:rPr>
      <w:rFonts w:ascii="Times New Roman" w:cs="Times New Roman" w:hAnsi="Times New Roman"/>
      <w:sz w:val="24"/>
    </w:rPr>
  </w:style>
  <w:style w:type="paragraph" w:customStyle="1" w:styleId="style4106">
    <w:name w:val="ConsPlusNormal"/>
    <w:next w:val="style4106"/>
    <w:pPr>
      <w:widowControl w:val="false"/>
      <w:autoSpaceDE w:val="false"/>
      <w:autoSpaceDN w:val="false"/>
    </w:pPr>
    <w:rPr>
      <w:rFonts w:ascii="Times New Roman" w:cs="Times New Roman" w:hAnsi="Times New Roman"/>
      <w:sz w:val="24"/>
    </w:rPr>
  </w:style>
  <w:style w:type="paragraph" w:customStyle="1" w:styleId="style4107">
    <w:name w:val="ConsPlusNonformat"/>
    <w:next w:val="style4107"/>
    <w:pPr>
      <w:widowControl w:val="false"/>
      <w:autoSpaceDE w:val="false"/>
      <w:autoSpaceDN w:val="false"/>
    </w:pPr>
    <w:rPr>
      <w:rFonts w:ascii="Courier New" w:cs="Courier New" w:hAnsi="Courier New"/>
      <w:sz w:val="20"/>
    </w:rPr>
  </w:style>
  <w:style w:type="paragraph" w:customStyle="1" w:styleId="style4108">
    <w:name w:val="ConsPlusTitle"/>
    <w:next w:val="style4108"/>
    <w:pPr>
      <w:widowControl w:val="false"/>
      <w:autoSpaceDE w:val="false"/>
      <w:autoSpaceDN w:val="false"/>
    </w:pPr>
    <w:rPr>
      <w:rFonts w:ascii="Arial" w:cs="Arial" w:hAnsi="Arial"/>
      <w:b/>
      <w:sz w:val="24"/>
    </w:rPr>
  </w:style>
  <w:style w:type="paragraph" w:customStyle="1" w:styleId="style4109">
    <w:name w:val="ConsPlusCell"/>
    <w:next w:val="style4109"/>
    <w:pPr>
      <w:widowControl w:val="false"/>
      <w:autoSpaceDE w:val="false"/>
      <w:autoSpaceDN w:val="false"/>
    </w:pPr>
    <w:rPr>
      <w:rFonts w:ascii="Courier New" w:cs="Courier New" w:hAnsi="Courier New"/>
      <w:sz w:val="20"/>
    </w:rPr>
  </w:style>
  <w:style w:type="paragraph" w:customStyle="1" w:styleId="style4110">
    <w:name w:val="ConsPlusDocList"/>
    <w:next w:val="style4110"/>
    <w:pPr>
      <w:widowControl w:val="false"/>
      <w:autoSpaceDE w:val="false"/>
      <w:autoSpaceDN w:val="false"/>
    </w:pPr>
    <w:rPr>
      <w:rFonts w:ascii="Tahoma" w:cs="Tahoma" w:hAnsi="Tahoma"/>
      <w:sz w:val="18"/>
    </w:rPr>
  </w:style>
  <w:style w:type="paragraph" w:customStyle="1" w:styleId="style4111">
    <w:name w:val="ConsPlusTitlePage"/>
    <w:next w:val="style4111"/>
    <w:pPr>
      <w:widowControl w:val="false"/>
      <w:autoSpaceDE w:val="false"/>
      <w:autoSpaceDN w:val="false"/>
    </w:pPr>
    <w:rPr>
      <w:rFonts w:ascii="Tahoma" w:cs="Tahoma" w:hAnsi="Tahoma"/>
      <w:sz w:val="20"/>
    </w:rPr>
  </w:style>
  <w:style w:type="paragraph" w:customStyle="1" w:styleId="style4112">
    <w:name w:val="ConsPlusJurTerm"/>
    <w:next w:val="style4112"/>
    <w:pPr>
      <w:widowControl w:val="false"/>
      <w:autoSpaceDE w:val="false"/>
      <w:autoSpaceDN w:val="false"/>
    </w:pPr>
    <w:rPr>
      <w:rFonts w:ascii="Tahoma" w:cs="Tahoma" w:hAnsi="Tahoma"/>
      <w:sz w:val="26"/>
    </w:rPr>
  </w:style>
  <w:style w:type="paragraph" w:customStyle="1" w:styleId="style4113">
    <w:name w:val="ConsPlusTextList"/>
    <w:next w:val="style4113"/>
    <w:pPr>
      <w:widowControl w:val="false"/>
      <w:autoSpaceDE w:val="false"/>
      <w:autoSpaceDN w:val="false"/>
    </w:pPr>
    <w:rPr>
      <w:rFonts w:ascii="Times New Roman" w:cs="Times New Roman" w:hAnsi="Times New Roman"/>
      <w:sz w:val="24"/>
    </w:rPr>
  </w:style>
  <w:style w:type="paragraph" w:customStyle="1" w:styleId="style4114">
    <w:name w:val="ConsPlusTextList"/>
    <w:next w:val="style4114"/>
    <w:pPr>
      <w:widowControl w:val="false"/>
      <w:autoSpaceDE w:val="false"/>
      <w:autoSpaceDN w:val="false"/>
    </w:pPr>
    <w:rPr>
      <w:rFonts w:ascii="Times New Roman" w:cs="Times New Roman" w:hAnsi="Times New Roman"/>
      <w:sz w:val="24"/>
    </w:rPr>
  </w:style>
  <w:style w:type="paragraph" w:styleId="style31">
    <w:name w:val="header"/>
    <w:basedOn w:val="style0"/>
    <w:next w:val="style31"/>
    <w:link w:val="style411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15">
    <w:name w:val="Верхний колонтитул Знак"/>
    <w:basedOn w:val="style65"/>
    <w:next w:val="style4115"/>
    <w:link w:val="style31"/>
    <w:uiPriority w:val="99"/>
  </w:style>
  <w:style w:type="paragraph" w:styleId="style32">
    <w:name w:val="footer"/>
    <w:basedOn w:val="style0"/>
    <w:next w:val="style32"/>
    <w:link w:val="style4116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16">
    <w:name w:val="Нижний колонтитул Знак"/>
    <w:basedOn w:val="style65"/>
    <w:next w:val="style4116"/>
    <w:link w:val="style32"/>
    <w:uiPriority w:val="99"/>
  </w:style>
  <w:style w:type="paragraph" w:customStyle="1" w:styleId="style4117">
    <w:name w:val="Знак примечания1"/>
    <w:basedOn w:val="style0"/>
    <w:next w:val="style4117"/>
    <w:link w:val="style39"/>
    <w:pPr/>
    <w:rPr>
      <w:rFonts w:cs="Times New Roman" w:eastAsia="Times New Roman"/>
      <w:color w:val="000000"/>
      <w:sz w:val="16"/>
      <w:szCs w:val="20"/>
    </w:rPr>
  </w:style>
  <w:style w:type="character" w:styleId="style39">
    <w:name w:val="annotation reference"/>
    <w:basedOn w:val="style65"/>
    <w:next w:val="style39"/>
    <w:link w:val="style4117"/>
    <w:rPr>
      <w:rFonts w:cs="Times New Roman" w:eastAsia="Times New Roman"/>
      <w:color w:val="000000"/>
      <w:sz w:val="16"/>
      <w:szCs w:val="20"/>
    </w:rPr>
  </w:style>
  <w:style w:type="paragraph" w:styleId="style30">
    <w:name w:val="annotation text"/>
    <w:basedOn w:val="style0"/>
    <w:next w:val="style30"/>
    <w:link w:val="style4118"/>
    <w:pPr>
      <w:spacing w:after="200" w:lineRule="auto" w:line="276"/>
    </w:pPr>
    <w:rPr>
      <w:rFonts w:cs="Times New Roman" w:eastAsia="Times New Roman"/>
      <w:color w:val="000000"/>
      <w:sz w:val="20"/>
      <w:szCs w:val="20"/>
    </w:rPr>
  </w:style>
  <w:style w:type="character" w:customStyle="1" w:styleId="style4118">
    <w:name w:val="Текст примечания Знак"/>
    <w:basedOn w:val="style65"/>
    <w:next w:val="style4118"/>
    <w:link w:val="style30"/>
    <w:rPr>
      <w:rFonts w:cs="Times New Roman" w:eastAsia="Times New Roman"/>
      <w:color w:val="000000"/>
      <w:sz w:val="20"/>
      <w:szCs w:val="20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119"/>
    <w:uiPriority w:val="99"/>
    <w:pPr/>
    <w:rPr>
      <w:rFonts w:ascii="Segoe UI" w:cs="Segoe UI" w:hAnsi="Segoe UI"/>
      <w:sz w:val="18"/>
      <w:szCs w:val="18"/>
    </w:rPr>
  </w:style>
  <w:style w:type="character" w:customStyle="1" w:styleId="style4119">
    <w:name w:val="Текст выноски Знак"/>
    <w:basedOn w:val="style65"/>
    <w:next w:val="style4119"/>
    <w:link w:val="style153"/>
    <w:uiPriority w:val="99"/>
    <w:rPr>
      <w:rFonts w:ascii="Segoe UI" w:cs="Segoe UI" w:hAnsi="Segoe UI"/>
      <w:sz w:val="18"/>
      <w:szCs w:val="18"/>
    </w:rPr>
  </w:style>
  <w:style w:type="paragraph" w:styleId="style106">
    <w:name w:val="annotation subject"/>
    <w:basedOn w:val="style30"/>
    <w:next w:val="style30"/>
    <w:link w:val="style4120"/>
    <w:uiPriority w:val="99"/>
    <w:pPr>
      <w:spacing w:after="0" w:lineRule="auto" w:line="240"/>
    </w:pPr>
    <w:rPr>
      <w:rFonts w:cs="宋体" w:eastAsia="宋体"/>
      <w:b/>
      <w:bCs/>
      <w:color w:val="auto"/>
    </w:rPr>
  </w:style>
  <w:style w:type="character" w:customStyle="1" w:styleId="style4120">
    <w:name w:val="Тема примечания Знак"/>
    <w:basedOn w:val="style4118"/>
    <w:next w:val="style4120"/>
    <w:link w:val="style106"/>
    <w:uiPriority w:val="99"/>
    <w:rPr>
      <w:rFonts w:cs="Times New Roman" w:eastAsia="Times New Roman"/>
      <w:b/>
      <w:bCs/>
      <w:color w:val="000000"/>
      <w:sz w:val="20"/>
      <w:szCs w:val="20"/>
    </w:rPr>
  </w:style>
  <w:style w:type="paragraph" w:styleId="style178">
    <w:name w:val="Revision"/>
    <w:next w:val="style178"/>
    <w:uiPriority w:val="99"/>
    <w:pPr/>
  </w:style>
  <w:style w:type="paragraph" w:styleId="style179">
    <w:name w:val="List Paragraph"/>
    <w:basedOn w:val="style0"/>
    <w:next w:val="style179"/>
    <w:qFormat/>
    <w:uiPriority w:val="1"/>
    <w:pPr>
      <w:widowControl w:val="false"/>
      <w:autoSpaceDE w:val="false"/>
      <w:autoSpaceDN w:val="false"/>
      <w:ind w:left="561" w:firstLine="536"/>
      <w:jc w:val="both"/>
    </w:pPr>
    <w:rPr>
      <w:rFonts w:ascii="Times New Roman" w:cs="Times New Roman" w:eastAsia="Times New Roman" w:hAnsi="Times New Roman"/>
      <w:lang w:eastAsia="en-US"/>
    </w:rPr>
  </w:style>
  <w:style w:type="table" w:customStyle="1" w:styleId="style4121">
    <w:name w:val="Table Normal"/>
    <w:next w:val="style4121"/>
    <w:qFormat/>
    <w:uiPriority w:val="2"/>
    <w:pPr>
      <w:widowControl w:val="false"/>
      <w:autoSpaceDE w:val="false"/>
      <w:autoSpaceDN w:val="false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122">
    <w:name w:val="Table Paragraph"/>
    <w:basedOn w:val="style0"/>
    <w:next w:val="style4122"/>
    <w:qFormat/>
    <w:uiPriority w:val="1"/>
    <w:pPr>
      <w:widowControl w:val="false"/>
      <w:autoSpaceDE w:val="false"/>
      <w:autoSpaceDN w:val="false"/>
    </w:pPr>
    <w:rPr>
      <w:rFonts w:ascii="Times New Roman" w:cs="Times New Roman" w:eastAsia="Times New Roman" w:hAnsi="Times New Roman"/>
      <w:lang w:eastAsia="en-US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4E9C5-43B4-4FBB-B87C-D073F3C1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504</Words>
  <Pages>2</Pages>
  <Characters>3844</Characters>
  <Application>WPS Office</Application>
  <DocSecurity>0</DocSecurity>
  <Paragraphs>61</Paragraphs>
  <ScaleCrop>false</ScaleCrop>
  <Company>КонсультантПлюс Версия 4024.00.50</Company>
  <LinksUpToDate>false</LinksUpToDate>
  <CharactersWithSpaces>4408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2025-11-12T18:05:08Z</dcterms:created>
  <dc:creator>Аров Рустам Ибрагимович</dc:creator>
  <lastModifiedBy>2201122G</lastModifiedBy>
  <lastPrinted>2025-07-03T12:28:00Z</lastPrinted>
  <dcterms:modified xsi:type="dcterms:W3CDTF">2025-11-12T18:05:08Z</dcterms:modified>
  <revision>3</revision>
  <dc:title>Распоряжение Минжилполитики МО от 29.01.2021 N 12 (ред. от 18.03.2024) "Об утверждении примерных форм договоров о комплексном развитии территории, проекта решения и решения о комплексном развитии территории в Московской области"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65b69a13774d484f8d1dd2b77b831e67</vt:lpwstr>
  </property>
</Properties>
</file>